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B4BE8" w14:textId="3E65F4F4" w:rsidR="00F167CC" w:rsidRDefault="00F167CC" w:rsidP="00F167CC">
      <w:pPr>
        <w:spacing w:after="0" w:line="240" w:lineRule="auto"/>
        <w:jc w:val="both"/>
        <w:rPr>
          <w:b/>
          <w:bCs/>
        </w:rPr>
      </w:pPr>
      <w:r w:rsidRPr="00743CCA">
        <w:rPr>
          <w:b/>
          <w:bCs/>
        </w:rPr>
        <w:t>Dissemination</w:t>
      </w:r>
      <w:r>
        <w:rPr>
          <w:b/>
          <w:bCs/>
        </w:rPr>
        <w:t>, Exploitation and</w:t>
      </w:r>
      <w:r w:rsidRPr="00743CCA">
        <w:rPr>
          <w:b/>
          <w:bCs/>
        </w:rPr>
        <w:t xml:space="preserve"> Communication in Horizon Europe Projects - Examples of Good Practice</w:t>
      </w:r>
    </w:p>
    <w:p w14:paraId="0B7BCF43" w14:textId="77777777" w:rsidR="00F167CC" w:rsidRDefault="00F167CC" w:rsidP="00F167CC">
      <w:pPr>
        <w:spacing w:after="0" w:line="240" w:lineRule="auto"/>
        <w:jc w:val="both"/>
        <w:rPr>
          <w:b/>
          <w:bCs/>
        </w:rPr>
      </w:pPr>
    </w:p>
    <w:p w14:paraId="27CAF7DC" w14:textId="5F38177B" w:rsidR="00F167CC" w:rsidRPr="00743CCA" w:rsidRDefault="00F167CC" w:rsidP="00F167CC">
      <w:pPr>
        <w:spacing w:after="0" w:line="240" w:lineRule="auto"/>
        <w:jc w:val="both"/>
        <w:rPr>
          <w:vertAlign w:val="superscript"/>
          <w:lang w:val="sr-Latn-RS"/>
        </w:rPr>
      </w:pPr>
      <w:r>
        <w:rPr>
          <w:lang w:val="sr-Latn-RS"/>
        </w:rPr>
        <w:t xml:space="preserve">Marina Arnaut Stefanović </w:t>
      </w:r>
      <w:r>
        <w:rPr>
          <w:vertAlign w:val="superscript"/>
          <w:lang w:val="sr-Latn-RS"/>
        </w:rPr>
        <w:t>1</w:t>
      </w:r>
      <w:r>
        <w:rPr>
          <w:lang w:val="sr-Latn-RS"/>
        </w:rPr>
        <w:t>, M</w:t>
      </w:r>
      <w:r w:rsidRPr="00743CCA">
        <w:rPr>
          <w:lang w:val="sr-Latn-RS"/>
        </w:rPr>
        <w:t>laden Radišić</w:t>
      </w:r>
      <w:r>
        <w:rPr>
          <w:lang w:val="sr-Latn-RS"/>
        </w:rPr>
        <w:t xml:space="preserve"> </w:t>
      </w:r>
      <w:r w:rsidRPr="00743CCA">
        <w:rPr>
          <w:vertAlign w:val="superscript"/>
          <w:lang w:val="sr-Latn-RS"/>
        </w:rPr>
        <w:t>1,2</w:t>
      </w:r>
      <w:r w:rsidRPr="00743CCA">
        <w:rPr>
          <w:lang w:val="sr-Latn-RS"/>
        </w:rPr>
        <w:t xml:space="preserve">, </w:t>
      </w:r>
      <w:r>
        <w:rPr>
          <w:lang w:val="sr-Latn-RS"/>
        </w:rPr>
        <w:t>Maja Radišić</w:t>
      </w:r>
      <w:r w:rsidR="009B021D">
        <w:rPr>
          <w:vertAlign w:val="superscript"/>
          <w:lang w:val="sr-Latn-RS"/>
        </w:rPr>
        <w:t>1</w:t>
      </w:r>
      <w:r>
        <w:rPr>
          <w:lang w:val="sr-Latn-RS"/>
        </w:rPr>
        <w:t xml:space="preserve">, Gordana Racić </w:t>
      </w:r>
      <w:r w:rsidR="009B021D" w:rsidRPr="009B021D">
        <w:rPr>
          <w:vertAlign w:val="superscript"/>
          <w:lang w:val="sr-Latn-RS"/>
        </w:rPr>
        <w:t>1</w:t>
      </w:r>
      <w:r w:rsidR="009B021D">
        <w:rPr>
          <w:vertAlign w:val="superscript"/>
          <w:lang w:val="sr-Latn-RS"/>
        </w:rPr>
        <w:t>,</w:t>
      </w:r>
      <w:r>
        <w:rPr>
          <w:vertAlign w:val="superscript"/>
          <w:lang w:val="sr-Latn-RS"/>
        </w:rPr>
        <w:t>3</w:t>
      </w:r>
    </w:p>
    <w:p w14:paraId="2B998FE7" w14:textId="77777777" w:rsidR="0094176A" w:rsidRDefault="0094176A" w:rsidP="00F167CC">
      <w:pPr>
        <w:spacing w:after="0" w:line="240" w:lineRule="auto"/>
        <w:jc w:val="both"/>
        <w:rPr>
          <w:vertAlign w:val="superscript"/>
          <w:lang w:val="sr-Latn-RS"/>
        </w:rPr>
      </w:pPr>
    </w:p>
    <w:p w14:paraId="26BFCFB2" w14:textId="4217F187" w:rsidR="00F167CC" w:rsidRDefault="00F167CC" w:rsidP="00F167CC">
      <w:pPr>
        <w:spacing w:after="0" w:line="240" w:lineRule="auto"/>
        <w:jc w:val="both"/>
        <w:rPr>
          <w:lang w:val="sr-Latn-RS"/>
        </w:rPr>
      </w:pPr>
      <w:r w:rsidRPr="00743CCA">
        <w:rPr>
          <w:vertAlign w:val="superscript"/>
          <w:lang w:val="sr-Latn-RS"/>
        </w:rPr>
        <w:t>1</w:t>
      </w:r>
      <w:r w:rsidRPr="00743CCA">
        <w:rPr>
          <w:lang w:val="sr-Latn-RS"/>
        </w:rPr>
        <w:t xml:space="preserve"> </w:t>
      </w:r>
      <w:r>
        <w:rPr>
          <w:lang w:val="sr-Latn-RS"/>
        </w:rPr>
        <w:t>Foodscale Hub, Novi Sad</w:t>
      </w:r>
    </w:p>
    <w:p w14:paraId="278FAABE" w14:textId="7A4A1078" w:rsidR="00F167CC" w:rsidRPr="00743CCA" w:rsidRDefault="00F167CC" w:rsidP="00F167CC">
      <w:pPr>
        <w:spacing w:after="0" w:line="240" w:lineRule="auto"/>
        <w:jc w:val="both"/>
        <w:rPr>
          <w:lang w:val="sr-Latn-RS"/>
        </w:rPr>
      </w:pPr>
      <w:r w:rsidRPr="00743CCA">
        <w:rPr>
          <w:vertAlign w:val="superscript"/>
          <w:lang w:val="sr-Latn-RS"/>
        </w:rPr>
        <w:t>2</w:t>
      </w:r>
      <w:r>
        <w:rPr>
          <w:lang w:val="sr-Latn-RS"/>
        </w:rPr>
        <w:t xml:space="preserve"> </w:t>
      </w:r>
      <w:r w:rsidRPr="00743CCA">
        <w:rPr>
          <w:lang w:val="sr-Latn-RS"/>
        </w:rPr>
        <w:t>Faculty of Technical Sciences</w:t>
      </w:r>
      <w:r>
        <w:rPr>
          <w:lang w:val="sr-Latn-RS"/>
        </w:rPr>
        <w:t xml:space="preserve">, </w:t>
      </w:r>
      <w:r w:rsidRPr="00743CCA">
        <w:rPr>
          <w:lang w:val="sr-Latn-RS"/>
        </w:rPr>
        <w:t>University of Novi Sad</w:t>
      </w:r>
    </w:p>
    <w:p w14:paraId="11B0F3B4" w14:textId="3EDD0262" w:rsidR="00F167CC" w:rsidRDefault="00F167CC" w:rsidP="00F167CC">
      <w:pPr>
        <w:spacing w:after="0" w:line="240" w:lineRule="auto"/>
        <w:jc w:val="both"/>
        <w:rPr>
          <w:lang w:val="sr-Latn-RS"/>
        </w:rPr>
      </w:pPr>
      <w:r>
        <w:rPr>
          <w:vertAlign w:val="superscript"/>
          <w:lang w:val="sr-Latn-RS"/>
        </w:rPr>
        <w:t>3</w:t>
      </w:r>
      <w:r>
        <w:rPr>
          <w:lang w:val="sr-Latn-RS"/>
        </w:rPr>
        <w:t xml:space="preserve"> Research and Developme</w:t>
      </w:r>
      <w:r w:rsidR="0095784F">
        <w:rPr>
          <w:lang w:val="sr-Latn-RS"/>
        </w:rPr>
        <w:t>n</w:t>
      </w:r>
      <w:r>
        <w:rPr>
          <w:lang w:val="sr-Latn-RS"/>
        </w:rPr>
        <w:t>t Institute Tamiš, Novoseljenski put 33, Pančevo</w:t>
      </w:r>
    </w:p>
    <w:p w14:paraId="2A363654" w14:textId="627BCA55" w:rsidR="006B6574" w:rsidRDefault="007457E6" w:rsidP="00070B22">
      <w:pPr>
        <w:autoSpaceDE w:val="0"/>
        <w:autoSpaceDN w:val="0"/>
        <w:adjustRightInd w:val="0"/>
        <w:spacing w:after="0" w:line="240" w:lineRule="auto"/>
        <w:rPr>
          <w:rFonts w:cs="Times New Roman"/>
          <w:bCs/>
          <w:lang w:val="fr-FR"/>
        </w:rPr>
      </w:pPr>
      <w:r>
        <w:rPr>
          <w:rFonts w:cs="Times New Roman"/>
          <w:bCs/>
          <w:lang w:val="fr-FR"/>
        </w:rPr>
        <w:t>*</w:t>
      </w:r>
      <w:r w:rsidR="00F167CC">
        <w:rPr>
          <w:rFonts w:cs="Times New Roman"/>
          <w:bCs/>
          <w:lang w:val="fr-FR"/>
        </w:rPr>
        <w:t>marina</w:t>
      </w:r>
      <w:r>
        <w:rPr>
          <w:rFonts w:cs="Times New Roman"/>
          <w:bCs/>
          <w:lang w:val="fr-FR"/>
        </w:rPr>
        <w:t>@</w:t>
      </w:r>
      <w:r w:rsidR="00F167CC">
        <w:rPr>
          <w:rFonts w:cs="Times New Roman"/>
          <w:bCs/>
          <w:lang w:val="fr-FR"/>
        </w:rPr>
        <w:t>foodscalehub.com</w:t>
      </w:r>
    </w:p>
    <w:p w14:paraId="5284B8F6" w14:textId="77777777" w:rsidR="007457E6" w:rsidRPr="00DE0B84" w:rsidRDefault="007457E6" w:rsidP="00070B22">
      <w:pPr>
        <w:autoSpaceDE w:val="0"/>
        <w:autoSpaceDN w:val="0"/>
        <w:adjustRightInd w:val="0"/>
        <w:spacing w:after="0" w:line="240" w:lineRule="auto"/>
        <w:rPr>
          <w:rFonts w:cs="Times New Roman"/>
          <w:bCs/>
          <w:lang w:val="fr-FR"/>
        </w:rPr>
      </w:pPr>
    </w:p>
    <w:p w14:paraId="7CCEF626" w14:textId="7101994E" w:rsidR="000C0F31" w:rsidRPr="00DE0B84" w:rsidRDefault="000C0F31" w:rsidP="00070B22">
      <w:pPr>
        <w:autoSpaceDE w:val="0"/>
        <w:autoSpaceDN w:val="0"/>
        <w:adjustRightInd w:val="0"/>
        <w:spacing w:after="0" w:line="240" w:lineRule="auto"/>
        <w:rPr>
          <w:rFonts w:cs="Times New Roman"/>
          <w:b/>
          <w:bCs/>
          <w:lang w:val="en-GB"/>
        </w:rPr>
      </w:pPr>
      <w:r w:rsidRPr="00480F5D">
        <w:rPr>
          <w:rStyle w:val="Strong"/>
          <w:rFonts w:cs="Times New Roman"/>
          <w:bCs w:val="0"/>
          <w:lang w:val="en-GB"/>
        </w:rPr>
        <w:t>Keywords:</w:t>
      </w:r>
      <w:r w:rsidRPr="00DE0B84">
        <w:rPr>
          <w:rStyle w:val="Strong"/>
          <w:rFonts w:cs="Times New Roman"/>
          <w:b w:val="0"/>
          <w:lang w:val="en-GB"/>
        </w:rPr>
        <w:t xml:space="preserve"> </w:t>
      </w:r>
      <w:r w:rsidR="00F167CC">
        <w:rPr>
          <w:rStyle w:val="Strong"/>
          <w:rFonts w:cs="Times New Roman"/>
          <w:b w:val="0"/>
          <w:lang w:val="en-GB"/>
        </w:rPr>
        <w:t>dissemination, communication, stakeholder engagement, Horizon Europe</w:t>
      </w:r>
    </w:p>
    <w:p w14:paraId="2AC61481" w14:textId="77777777" w:rsidR="000C0F31" w:rsidRPr="00DE0B84" w:rsidRDefault="000C0F31" w:rsidP="00070B22">
      <w:pPr>
        <w:autoSpaceDE w:val="0"/>
        <w:autoSpaceDN w:val="0"/>
        <w:adjustRightInd w:val="0"/>
        <w:spacing w:after="0" w:line="240" w:lineRule="auto"/>
        <w:rPr>
          <w:rFonts w:cs="Times New Roman"/>
          <w:bCs/>
          <w:lang w:val="en-GB"/>
        </w:rPr>
      </w:pPr>
    </w:p>
    <w:p w14:paraId="443BF17E" w14:textId="77777777" w:rsidR="00F167CC" w:rsidRPr="00F167CC" w:rsidRDefault="00F167CC" w:rsidP="00F167CC">
      <w:pPr>
        <w:jc w:val="both"/>
        <w:rPr>
          <w:rFonts w:cstheme="minorHAnsi"/>
        </w:rPr>
      </w:pPr>
      <w:r w:rsidRPr="00F167CC">
        <w:rPr>
          <w:rFonts w:cstheme="minorHAnsi"/>
        </w:rPr>
        <w:t>The European Union’s research and innovation (R&amp;I) agenda increasingly emphasises the importance of effective dissemination, communication, and exploitation (DCE) to maximise the impact of funded projects. Despite their central role in translating research into societal and economic value, DCE activities remain unevenly implemented and relatively underexplored in the literature. This article addresses this gap by examining how DCE practices are designed and applied within Horizon Europe projects, and how they align with broader EU R&amp;I priorities.</w:t>
      </w:r>
    </w:p>
    <w:p w14:paraId="4AAC3D00" w14:textId="77777777" w:rsidR="00F167CC" w:rsidRPr="00F167CC" w:rsidRDefault="00F167CC" w:rsidP="00F167CC">
      <w:pPr>
        <w:jc w:val="both"/>
        <w:rPr>
          <w:rFonts w:cstheme="minorHAnsi"/>
          <w:lang w:val="en-US"/>
        </w:rPr>
      </w:pPr>
      <w:r w:rsidRPr="00F167CC">
        <w:rPr>
          <w:rFonts w:cstheme="minorHAnsi"/>
        </w:rPr>
        <w:t xml:space="preserve">In Foodscale Hub, dissemination and communication activities are strategically developed to enhance the visibility, accessibility, and uptake of project results through comprehensive strategies, tailored materials, and targeted campaigns across both traditional and digital channels. In parallel, exploitation activities focus on ensuring the long-term sustainability and scalability of outcomes by supporting stakeholders in translating innovations into practical applications. Through business modelling, capacity-building initiatives, and targeted training, these approaches facilitate the uptake and continued development of project results beyond the project lifecycle. </w:t>
      </w:r>
      <w:r w:rsidRPr="00F167CC">
        <w:rPr>
          <w:rFonts w:cstheme="minorHAnsi"/>
          <w:lang w:val="sr-Latn-RS"/>
        </w:rPr>
        <w:t xml:space="preserve">FSH is partner in more than 20 Horizon Europe projects  leading work packages dedicated to enlarging the impact of project results and research through strategic dissemination, communication, exploitation, and sustainability strategies. </w:t>
      </w:r>
    </w:p>
    <w:p w14:paraId="4CACF4C1" w14:textId="77777777" w:rsidR="00F167CC" w:rsidRPr="00B4407A" w:rsidRDefault="00F167CC" w:rsidP="00F167CC">
      <w:pPr>
        <w:spacing w:after="160" w:line="278" w:lineRule="auto"/>
        <w:jc w:val="both"/>
        <w:rPr>
          <w:rFonts w:cstheme="minorHAnsi"/>
        </w:rPr>
      </w:pPr>
      <w:r w:rsidRPr="00F167CC">
        <w:rPr>
          <w:rFonts w:cstheme="minorHAnsi"/>
        </w:rPr>
        <w:t>This work presents</w:t>
      </w:r>
      <w:r w:rsidRPr="00B4407A">
        <w:rPr>
          <w:rFonts w:cstheme="minorHAnsi"/>
        </w:rPr>
        <w:t xml:space="preserve"> good practices in dissemination and communication of European projects, with the aim of analysing how three Horizon Europe initiatives</w:t>
      </w:r>
      <w:r w:rsidRPr="00F167CC">
        <w:rPr>
          <w:rFonts w:cstheme="minorHAnsi"/>
        </w:rPr>
        <w:t xml:space="preserve">, </w:t>
      </w:r>
      <w:r w:rsidRPr="00B4407A">
        <w:rPr>
          <w:rFonts w:cstheme="minorHAnsi"/>
        </w:rPr>
        <w:t>RefreSCAR, CrackSense and INCiTiS-FOOD</w:t>
      </w:r>
      <w:r w:rsidRPr="00F167CC">
        <w:rPr>
          <w:rFonts w:cstheme="minorHAnsi"/>
        </w:rPr>
        <w:t>,</w:t>
      </w:r>
      <w:r w:rsidRPr="00B4407A">
        <w:rPr>
          <w:rFonts w:cstheme="minorHAnsi"/>
        </w:rPr>
        <w:t xml:space="preserve"> apply these practices in real-world settings. </w:t>
      </w:r>
      <w:r w:rsidRPr="00F167CC">
        <w:rPr>
          <w:rFonts w:cstheme="minorHAnsi"/>
        </w:rPr>
        <w:t xml:space="preserve"> </w:t>
      </w:r>
      <w:r w:rsidRPr="00B4407A">
        <w:rPr>
          <w:rFonts w:cstheme="minorHAnsi"/>
        </w:rPr>
        <w:t>RefreSCAR provides a strong example of how continuous and targeted communication enables outreach to a wide range of stakeholders, including ministry representatives, national Cluster 6 delegates, researchers, farmers, and entrepreneurs. CrackSense demonstrates how early and timely communication can increase farmers’ interest in digital solutions in agriculture while simultaneously raising public awareness of the challenges faced by fruit producers. INCiTiS-FOOD highlights the value of interactive approaches</w:t>
      </w:r>
      <w:r w:rsidRPr="00F167CC">
        <w:rPr>
          <w:rFonts w:cstheme="minorHAnsi"/>
        </w:rPr>
        <w:t xml:space="preserve">, </w:t>
      </w:r>
      <w:r w:rsidRPr="00B4407A">
        <w:rPr>
          <w:rFonts w:cstheme="minorHAnsi"/>
        </w:rPr>
        <w:t>such as webinars, workshops, and roadshow events</w:t>
      </w:r>
      <w:r w:rsidRPr="00F167CC">
        <w:rPr>
          <w:rFonts w:cstheme="minorHAnsi"/>
        </w:rPr>
        <w:t xml:space="preserve">, </w:t>
      </w:r>
      <w:r w:rsidRPr="00B4407A">
        <w:rPr>
          <w:rFonts w:cstheme="minorHAnsi"/>
        </w:rPr>
        <w:t>in fostering direct engagement between researchers and small-scale farmers, while also promoting the benefits of cascade funding mechanisms.</w:t>
      </w:r>
    </w:p>
    <w:p w14:paraId="2460C45A" w14:textId="77777777" w:rsidR="0094176A" w:rsidRDefault="00F167CC" w:rsidP="0094176A">
      <w:pPr>
        <w:spacing w:after="160" w:line="278" w:lineRule="auto"/>
        <w:jc w:val="both"/>
        <w:rPr>
          <w:rFonts w:cstheme="minorHAnsi"/>
        </w:rPr>
      </w:pPr>
      <w:r w:rsidRPr="00B4407A">
        <w:rPr>
          <w:rFonts w:cstheme="minorHAnsi"/>
        </w:rPr>
        <w:t>The findings offer practical guidance for future Horizon Europe projects seeking to enhance visibility, strengthen stakeholder engagement, and improve knowledge exchange.</w:t>
      </w:r>
    </w:p>
    <w:p w14:paraId="30167FB4" w14:textId="3395C97C" w:rsidR="00F167CC" w:rsidRDefault="0003253D" w:rsidP="0094176A">
      <w:pPr>
        <w:spacing w:after="160" w:line="278" w:lineRule="auto"/>
        <w:jc w:val="both"/>
        <w:rPr>
          <w:rFonts w:ascii="Calibri" w:hAnsi="Calibri" w:cs="Calibri"/>
          <w:i/>
          <w:iCs/>
        </w:rPr>
      </w:pPr>
      <w:r w:rsidRPr="00AC6444">
        <w:rPr>
          <w:rFonts w:ascii="Calibri" w:hAnsi="Calibri" w:cs="Calibri"/>
          <w:i/>
          <w:iCs/>
        </w:rPr>
        <w:t xml:space="preserve">Funding: </w:t>
      </w:r>
      <w:r w:rsidR="002E5323" w:rsidRPr="00AC6444">
        <w:rPr>
          <w:rFonts w:ascii="Calibri" w:hAnsi="Calibri" w:cs="Calibri"/>
          <w:i/>
          <w:iCs/>
        </w:rPr>
        <w:t>The research leading to this publication has received funding from the European Union’s Horizon Europe research and innovation program under grant agreement No. 101083790 (project I</w:t>
      </w:r>
      <w:r w:rsidR="0094176A">
        <w:rPr>
          <w:rFonts w:ascii="Calibri" w:hAnsi="Calibri" w:cs="Calibri"/>
          <w:i/>
          <w:iCs/>
        </w:rPr>
        <w:t>N</w:t>
      </w:r>
      <w:r w:rsidR="002E5323" w:rsidRPr="00AC6444">
        <w:rPr>
          <w:rFonts w:ascii="Calibri" w:hAnsi="Calibri" w:cs="Calibri"/>
          <w:i/>
          <w:iCs/>
        </w:rPr>
        <w:t>Ci</w:t>
      </w:r>
      <w:r w:rsidR="0094176A">
        <w:rPr>
          <w:rFonts w:ascii="Calibri" w:hAnsi="Calibri" w:cs="Calibri"/>
          <w:i/>
          <w:iCs/>
        </w:rPr>
        <w:t>T</w:t>
      </w:r>
      <w:r w:rsidR="002E5323" w:rsidRPr="00AC6444">
        <w:rPr>
          <w:rFonts w:ascii="Calibri" w:hAnsi="Calibri" w:cs="Calibri"/>
          <w:i/>
          <w:iCs/>
        </w:rPr>
        <w:t>i</w:t>
      </w:r>
      <w:r w:rsidR="0094176A">
        <w:rPr>
          <w:rFonts w:ascii="Calibri" w:hAnsi="Calibri" w:cs="Calibri"/>
          <w:i/>
          <w:iCs/>
        </w:rPr>
        <w:t>S-</w:t>
      </w:r>
      <w:r w:rsidR="002E5323" w:rsidRPr="00AC6444">
        <w:rPr>
          <w:rFonts w:ascii="Calibri" w:hAnsi="Calibri" w:cs="Calibri"/>
          <w:i/>
          <w:iCs/>
        </w:rPr>
        <w:t>F</w:t>
      </w:r>
      <w:r w:rsidR="0094176A">
        <w:rPr>
          <w:rFonts w:ascii="Calibri" w:hAnsi="Calibri" w:cs="Calibri"/>
          <w:i/>
          <w:iCs/>
        </w:rPr>
        <w:t>OOD</w:t>
      </w:r>
      <w:r w:rsidR="002E5323" w:rsidRPr="00AC6444">
        <w:rPr>
          <w:rFonts w:ascii="Calibri" w:hAnsi="Calibri" w:cs="Calibri"/>
          <w:i/>
          <w:iCs/>
        </w:rPr>
        <w:t>)</w:t>
      </w:r>
      <w:r w:rsidR="00AC6444" w:rsidRPr="00AC6444">
        <w:rPr>
          <w:rFonts w:ascii="Calibri" w:hAnsi="Calibri" w:cs="Calibri"/>
          <w:i/>
          <w:iCs/>
        </w:rPr>
        <w:t xml:space="preserve">; No. </w:t>
      </w:r>
      <w:r w:rsidR="002E5323" w:rsidRPr="00AC6444">
        <w:rPr>
          <w:rFonts w:ascii="Calibri" w:hAnsi="Calibri" w:cs="Calibri"/>
          <w:i/>
          <w:iCs/>
        </w:rPr>
        <w:t>101060553</w:t>
      </w:r>
      <w:r w:rsidR="00AC6444" w:rsidRPr="00AC6444">
        <w:rPr>
          <w:rFonts w:ascii="Calibri" w:hAnsi="Calibri" w:cs="Calibri"/>
          <w:i/>
          <w:iCs/>
        </w:rPr>
        <w:t xml:space="preserve"> </w:t>
      </w:r>
      <w:r w:rsidR="00AC6444">
        <w:rPr>
          <w:rFonts w:ascii="Calibri" w:hAnsi="Calibri" w:cs="Calibri"/>
          <w:i/>
          <w:iCs/>
        </w:rPr>
        <w:t>(</w:t>
      </w:r>
      <w:r w:rsidR="00AC6444" w:rsidRPr="00AC6444">
        <w:rPr>
          <w:rFonts w:ascii="Calibri" w:hAnsi="Calibri" w:cs="Calibri"/>
          <w:i/>
          <w:iCs/>
        </w:rPr>
        <w:t xml:space="preserve">project </w:t>
      </w:r>
      <w:r w:rsidR="00F167CC" w:rsidRPr="00AC6444">
        <w:rPr>
          <w:rFonts w:ascii="Calibri" w:hAnsi="Calibri" w:cs="Calibri"/>
          <w:i/>
          <w:iCs/>
        </w:rPr>
        <w:t>RefreSCAR</w:t>
      </w:r>
      <w:r w:rsidR="00AC6444">
        <w:rPr>
          <w:rFonts w:ascii="Calibri" w:hAnsi="Calibri" w:cs="Calibri"/>
          <w:i/>
          <w:iCs/>
        </w:rPr>
        <w:t xml:space="preserve">); No. </w:t>
      </w:r>
      <w:r w:rsidR="00AC6444" w:rsidRPr="00AC6444">
        <w:rPr>
          <w:rFonts w:ascii="Calibri" w:hAnsi="Calibri" w:cs="Calibri"/>
          <w:i/>
          <w:iCs/>
        </w:rPr>
        <w:t>101086300</w:t>
      </w:r>
      <w:r w:rsidR="00AC6444">
        <w:rPr>
          <w:rFonts w:ascii="Calibri" w:hAnsi="Calibri" w:cs="Calibri"/>
          <w:i/>
          <w:iCs/>
        </w:rPr>
        <w:t xml:space="preserve"> (</w:t>
      </w:r>
      <w:proofErr w:type="spellStart"/>
      <w:r w:rsidR="00AC6444">
        <w:rPr>
          <w:rFonts w:ascii="Calibri" w:hAnsi="Calibri" w:cs="Calibri"/>
          <w:i/>
          <w:iCs/>
        </w:rPr>
        <w:t>project</w:t>
      </w:r>
      <w:proofErr w:type="spellEnd"/>
      <w:r w:rsidR="00AC6444">
        <w:rPr>
          <w:rFonts w:ascii="Calibri" w:hAnsi="Calibri" w:cs="Calibri"/>
          <w:i/>
          <w:iCs/>
        </w:rPr>
        <w:t xml:space="preserve"> </w:t>
      </w:r>
      <w:proofErr w:type="spellStart"/>
      <w:r w:rsidR="00AC6444">
        <w:rPr>
          <w:rFonts w:ascii="Calibri" w:hAnsi="Calibri" w:cs="Calibri"/>
          <w:i/>
          <w:iCs/>
        </w:rPr>
        <w:t>CrackSense</w:t>
      </w:r>
      <w:proofErr w:type="spellEnd"/>
      <w:r w:rsidR="00AC6444">
        <w:rPr>
          <w:rFonts w:ascii="Calibri" w:hAnsi="Calibri" w:cs="Calibri"/>
          <w:i/>
          <w:iCs/>
        </w:rPr>
        <w:t>).</w:t>
      </w:r>
      <w:r w:rsidR="00BD0284">
        <w:rPr>
          <w:rFonts w:ascii="Calibri" w:hAnsi="Calibri" w:cs="Calibri"/>
          <w:i/>
          <w:iCs/>
        </w:rPr>
        <w:br/>
      </w:r>
    </w:p>
    <w:sectPr w:rsidR="00F167CC" w:rsidSect="00480F5D">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89238" w14:textId="77777777" w:rsidR="002C5519" w:rsidRDefault="002C5519" w:rsidP="0028736F">
      <w:pPr>
        <w:spacing w:after="0" w:line="240" w:lineRule="auto"/>
      </w:pPr>
      <w:r>
        <w:separator/>
      </w:r>
    </w:p>
  </w:endnote>
  <w:endnote w:type="continuationSeparator" w:id="0">
    <w:p w14:paraId="1E471475" w14:textId="77777777" w:rsidR="002C5519" w:rsidRDefault="002C5519" w:rsidP="0028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82099" w14:textId="77777777" w:rsidR="002C5519" w:rsidRDefault="002C5519" w:rsidP="0028736F">
      <w:pPr>
        <w:spacing w:after="0" w:line="240" w:lineRule="auto"/>
      </w:pPr>
      <w:r>
        <w:separator/>
      </w:r>
    </w:p>
  </w:footnote>
  <w:footnote w:type="continuationSeparator" w:id="0">
    <w:p w14:paraId="23BAF7EB" w14:textId="77777777" w:rsidR="002C5519" w:rsidRDefault="002C5519" w:rsidP="0028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3A01" w14:textId="662FD76A" w:rsidR="0028736F" w:rsidRDefault="0028736F">
    <w:pPr>
      <w:pStyle w:val="Header"/>
    </w:pPr>
    <w:r w:rsidRPr="00324E63">
      <w:rPr>
        <w:noProof/>
      </w:rPr>
      <w:drawing>
        <wp:anchor distT="0" distB="0" distL="114300" distR="114300" simplePos="0" relativeHeight="251659264" behindDoc="1" locked="0" layoutInCell="1" allowOverlap="1" wp14:anchorId="7E861964" wp14:editId="30892E50">
          <wp:simplePos x="0" y="0"/>
          <wp:positionH relativeFrom="column">
            <wp:posOffset>1302385</wp:posOffset>
          </wp:positionH>
          <wp:positionV relativeFrom="paragraph">
            <wp:posOffset>-377825</wp:posOffset>
          </wp:positionV>
          <wp:extent cx="1026160" cy="753745"/>
          <wp:effectExtent l="0" t="0" r="2540" b="8255"/>
          <wp:wrapTight wrapText="bothSides">
            <wp:wrapPolygon edited="0">
              <wp:start x="0" y="0"/>
              <wp:lineTo x="0" y="21291"/>
              <wp:lineTo x="21252" y="21291"/>
              <wp:lineTo x="212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160" cy="753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B4E7A19" wp14:editId="5467E356">
          <wp:simplePos x="0" y="0"/>
          <wp:positionH relativeFrom="column">
            <wp:posOffset>-172085</wp:posOffset>
          </wp:positionH>
          <wp:positionV relativeFrom="paragraph">
            <wp:posOffset>-285115</wp:posOffset>
          </wp:positionV>
          <wp:extent cx="1261110" cy="591185"/>
          <wp:effectExtent l="0" t="0" r="0" b="0"/>
          <wp:wrapTight wrapText="bothSides">
            <wp:wrapPolygon edited="0">
              <wp:start x="0" y="0"/>
              <wp:lineTo x="0" y="20881"/>
              <wp:lineTo x="21208" y="20881"/>
              <wp:lineTo x="212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110" cy="5911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4DBD"/>
    <w:multiLevelType w:val="multilevel"/>
    <w:tmpl w:val="028CE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74E4F"/>
    <w:multiLevelType w:val="hybridMultilevel"/>
    <w:tmpl w:val="04268D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15812B0"/>
    <w:multiLevelType w:val="multilevel"/>
    <w:tmpl w:val="4F5E20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ED3FC7"/>
    <w:multiLevelType w:val="multilevel"/>
    <w:tmpl w:val="DC1A6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123BA"/>
    <w:multiLevelType w:val="hybridMultilevel"/>
    <w:tmpl w:val="B16E4B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5F06C50"/>
    <w:multiLevelType w:val="multilevel"/>
    <w:tmpl w:val="0F766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720AA"/>
    <w:multiLevelType w:val="hybridMultilevel"/>
    <w:tmpl w:val="84B4593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5EAE11C6"/>
    <w:multiLevelType w:val="hybridMultilevel"/>
    <w:tmpl w:val="2C4497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75B6E6F"/>
    <w:multiLevelType w:val="hybridMultilevel"/>
    <w:tmpl w:val="E5E0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81B69"/>
    <w:multiLevelType w:val="hybridMultilevel"/>
    <w:tmpl w:val="91363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B42BA6"/>
    <w:multiLevelType w:val="hybridMultilevel"/>
    <w:tmpl w:val="585E7A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6BA7F5B"/>
    <w:multiLevelType w:val="multilevel"/>
    <w:tmpl w:val="135E4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5A5EDA"/>
    <w:multiLevelType w:val="multilevel"/>
    <w:tmpl w:val="1D68A44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4684833">
    <w:abstractNumId w:val="0"/>
  </w:num>
  <w:num w:numId="2" w16cid:durableId="1550065997">
    <w:abstractNumId w:val="5"/>
  </w:num>
  <w:num w:numId="3" w16cid:durableId="1215921915">
    <w:abstractNumId w:val="11"/>
  </w:num>
  <w:num w:numId="4" w16cid:durableId="970670566">
    <w:abstractNumId w:val="12"/>
  </w:num>
  <w:num w:numId="5" w16cid:durableId="1380587110">
    <w:abstractNumId w:val="2"/>
  </w:num>
  <w:num w:numId="6" w16cid:durableId="380441496">
    <w:abstractNumId w:val="1"/>
  </w:num>
  <w:num w:numId="7" w16cid:durableId="89666360">
    <w:abstractNumId w:val="10"/>
  </w:num>
  <w:num w:numId="8" w16cid:durableId="1461146645">
    <w:abstractNumId w:val="6"/>
  </w:num>
  <w:num w:numId="9" w16cid:durableId="957640865">
    <w:abstractNumId w:val="7"/>
  </w:num>
  <w:num w:numId="10" w16cid:durableId="1983461401">
    <w:abstractNumId w:val="4"/>
  </w:num>
  <w:num w:numId="11" w16cid:durableId="1855998874">
    <w:abstractNumId w:val="9"/>
  </w:num>
  <w:num w:numId="12" w16cid:durableId="277495531">
    <w:abstractNumId w:val="8"/>
  </w:num>
  <w:num w:numId="13" w16cid:durableId="1672945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3C"/>
    <w:rsid w:val="00002335"/>
    <w:rsid w:val="000253E3"/>
    <w:rsid w:val="00027702"/>
    <w:rsid w:val="0003253D"/>
    <w:rsid w:val="0006000F"/>
    <w:rsid w:val="00070B22"/>
    <w:rsid w:val="000C0F31"/>
    <w:rsid w:val="00101EC0"/>
    <w:rsid w:val="00110BBC"/>
    <w:rsid w:val="001174C7"/>
    <w:rsid w:val="00121FE2"/>
    <w:rsid w:val="00134DF7"/>
    <w:rsid w:val="001D19DC"/>
    <w:rsid w:val="001F11B3"/>
    <w:rsid w:val="00236D4B"/>
    <w:rsid w:val="00242935"/>
    <w:rsid w:val="0028736F"/>
    <w:rsid w:val="002A2ADD"/>
    <w:rsid w:val="002B14FF"/>
    <w:rsid w:val="002B3C0C"/>
    <w:rsid w:val="002C5519"/>
    <w:rsid w:val="002E5323"/>
    <w:rsid w:val="003079AA"/>
    <w:rsid w:val="0032433B"/>
    <w:rsid w:val="0036671E"/>
    <w:rsid w:val="003D29BC"/>
    <w:rsid w:val="003E0C7F"/>
    <w:rsid w:val="004116E7"/>
    <w:rsid w:val="0042098A"/>
    <w:rsid w:val="00442316"/>
    <w:rsid w:val="00480F5D"/>
    <w:rsid w:val="00516192"/>
    <w:rsid w:val="00540655"/>
    <w:rsid w:val="0058379F"/>
    <w:rsid w:val="00586130"/>
    <w:rsid w:val="00597423"/>
    <w:rsid w:val="005D37B2"/>
    <w:rsid w:val="006777B9"/>
    <w:rsid w:val="00682537"/>
    <w:rsid w:val="006872EB"/>
    <w:rsid w:val="006B6574"/>
    <w:rsid w:val="007457E6"/>
    <w:rsid w:val="0076745F"/>
    <w:rsid w:val="007C45D0"/>
    <w:rsid w:val="007E76D6"/>
    <w:rsid w:val="00825A10"/>
    <w:rsid w:val="0082635D"/>
    <w:rsid w:val="008672B2"/>
    <w:rsid w:val="00877476"/>
    <w:rsid w:val="008E543C"/>
    <w:rsid w:val="008F64E6"/>
    <w:rsid w:val="0094176A"/>
    <w:rsid w:val="00941AD2"/>
    <w:rsid w:val="0095784F"/>
    <w:rsid w:val="009636D7"/>
    <w:rsid w:val="00982C72"/>
    <w:rsid w:val="009B021D"/>
    <w:rsid w:val="009B3CE5"/>
    <w:rsid w:val="009E6E28"/>
    <w:rsid w:val="00A559D9"/>
    <w:rsid w:val="00AA280E"/>
    <w:rsid w:val="00AA6857"/>
    <w:rsid w:val="00AC4D1D"/>
    <w:rsid w:val="00AC6444"/>
    <w:rsid w:val="00BD0284"/>
    <w:rsid w:val="00BD3A38"/>
    <w:rsid w:val="00C1045C"/>
    <w:rsid w:val="00C3515F"/>
    <w:rsid w:val="00C84701"/>
    <w:rsid w:val="00C85189"/>
    <w:rsid w:val="00CB4BFF"/>
    <w:rsid w:val="00CE405F"/>
    <w:rsid w:val="00D8349B"/>
    <w:rsid w:val="00DE0B84"/>
    <w:rsid w:val="00DF1F2A"/>
    <w:rsid w:val="00DF5891"/>
    <w:rsid w:val="00DF7CE8"/>
    <w:rsid w:val="00E046FB"/>
    <w:rsid w:val="00E30153"/>
    <w:rsid w:val="00E35F00"/>
    <w:rsid w:val="00E3607F"/>
    <w:rsid w:val="00E57C87"/>
    <w:rsid w:val="00E64010"/>
    <w:rsid w:val="00E83B4E"/>
    <w:rsid w:val="00EE64C0"/>
    <w:rsid w:val="00F167CC"/>
    <w:rsid w:val="00F20D53"/>
    <w:rsid w:val="00F4636E"/>
    <w:rsid w:val="00F51F90"/>
    <w:rsid w:val="00FB4FD7"/>
    <w:rsid w:val="00FB68E5"/>
    <w:rsid w:val="00FC5EBC"/>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EB856B"/>
  <w15:docId w15:val="{78EE215E-03D4-47C3-8709-DB0E7218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2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E543C"/>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Heading3">
    <w:name w:val="heading 3"/>
    <w:basedOn w:val="Normal"/>
    <w:next w:val="Normal"/>
    <w:link w:val="Heading3Char"/>
    <w:uiPriority w:val="9"/>
    <w:semiHidden/>
    <w:unhideWhenUsed/>
    <w:qFormat/>
    <w:rsid w:val="00070B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543C"/>
    <w:rPr>
      <w:rFonts w:ascii="Times New Roman" w:eastAsia="Times New Roman" w:hAnsi="Times New Roman" w:cs="Times New Roman"/>
      <w:b/>
      <w:bCs/>
      <w:sz w:val="36"/>
      <w:szCs w:val="36"/>
      <w:lang w:eastAsia="sl-SI"/>
    </w:rPr>
  </w:style>
  <w:style w:type="paragraph" w:styleId="NormalWeb">
    <w:name w:val="Normal (Web)"/>
    <w:basedOn w:val="Normal"/>
    <w:uiPriority w:val="99"/>
    <w:semiHidden/>
    <w:unhideWhenUsed/>
    <w:rsid w:val="008E54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DF7CE8"/>
    <w:rPr>
      <w:color w:val="1D4BCA"/>
      <w:u w:val="single"/>
    </w:rPr>
  </w:style>
  <w:style w:type="paragraph" w:styleId="ListParagraph">
    <w:name w:val="List Paragraph"/>
    <w:basedOn w:val="Normal"/>
    <w:uiPriority w:val="34"/>
    <w:qFormat/>
    <w:rsid w:val="00DF7CE8"/>
    <w:pPr>
      <w:ind w:left="720"/>
      <w:contextualSpacing/>
    </w:pPr>
  </w:style>
  <w:style w:type="character" w:styleId="Strong">
    <w:name w:val="Strong"/>
    <w:basedOn w:val="DefaultParagraphFont"/>
    <w:uiPriority w:val="22"/>
    <w:qFormat/>
    <w:rsid w:val="00DF7CE8"/>
    <w:rPr>
      <w:b/>
      <w:bCs/>
    </w:rPr>
  </w:style>
  <w:style w:type="character" w:styleId="CommentReference">
    <w:name w:val="annotation reference"/>
    <w:basedOn w:val="DefaultParagraphFont"/>
    <w:uiPriority w:val="99"/>
    <w:semiHidden/>
    <w:unhideWhenUsed/>
    <w:rsid w:val="009636D7"/>
    <w:rPr>
      <w:sz w:val="16"/>
      <w:szCs w:val="16"/>
    </w:rPr>
  </w:style>
  <w:style w:type="paragraph" w:styleId="CommentText">
    <w:name w:val="annotation text"/>
    <w:basedOn w:val="Normal"/>
    <w:link w:val="CommentTextChar"/>
    <w:uiPriority w:val="99"/>
    <w:semiHidden/>
    <w:unhideWhenUsed/>
    <w:rsid w:val="009636D7"/>
    <w:pPr>
      <w:spacing w:line="240" w:lineRule="auto"/>
    </w:pPr>
    <w:rPr>
      <w:sz w:val="20"/>
      <w:szCs w:val="20"/>
    </w:rPr>
  </w:style>
  <w:style w:type="character" w:customStyle="1" w:styleId="CommentTextChar">
    <w:name w:val="Comment Text Char"/>
    <w:basedOn w:val="DefaultParagraphFont"/>
    <w:link w:val="CommentText"/>
    <w:uiPriority w:val="99"/>
    <w:semiHidden/>
    <w:rsid w:val="009636D7"/>
    <w:rPr>
      <w:sz w:val="20"/>
      <w:szCs w:val="20"/>
    </w:rPr>
  </w:style>
  <w:style w:type="paragraph" w:styleId="CommentSubject">
    <w:name w:val="annotation subject"/>
    <w:basedOn w:val="CommentText"/>
    <w:next w:val="CommentText"/>
    <w:link w:val="CommentSubjectChar"/>
    <w:uiPriority w:val="99"/>
    <w:semiHidden/>
    <w:unhideWhenUsed/>
    <w:rsid w:val="009636D7"/>
    <w:rPr>
      <w:b/>
      <w:bCs/>
    </w:rPr>
  </w:style>
  <w:style w:type="character" w:customStyle="1" w:styleId="CommentSubjectChar">
    <w:name w:val="Comment Subject Char"/>
    <w:basedOn w:val="CommentTextChar"/>
    <w:link w:val="CommentSubject"/>
    <w:uiPriority w:val="99"/>
    <w:semiHidden/>
    <w:rsid w:val="009636D7"/>
    <w:rPr>
      <w:b/>
      <w:bCs/>
      <w:sz w:val="20"/>
      <w:szCs w:val="20"/>
    </w:rPr>
  </w:style>
  <w:style w:type="paragraph" w:styleId="BalloonText">
    <w:name w:val="Balloon Text"/>
    <w:basedOn w:val="Normal"/>
    <w:link w:val="BalloonTextChar"/>
    <w:uiPriority w:val="99"/>
    <w:semiHidden/>
    <w:unhideWhenUsed/>
    <w:rsid w:val="00963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6D7"/>
    <w:rPr>
      <w:rFonts w:ascii="Tahoma" w:hAnsi="Tahoma" w:cs="Tahoma"/>
      <w:sz w:val="16"/>
      <w:szCs w:val="16"/>
    </w:rPr>
  </w:style>
  <w:style w:type="paragraph" w:customStyle="1" w:styleId="Default">
    <w:name w:val="Default"/>
    <w:rsid w:val="002B14FF"/>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070B22"/>
    <w:rPr>
      <w:rFonts w:asciiTheme="majorHAnsi" w:eastAsiaTheme="majorEastAsia" w:hAnsiTheme="majorHAnsi" w:cstheme="majorBidi"/>
      <w:b/>
      <w:bCs/>
      <w:color w:val="4F81BD" w:themeColor="accent1"/>
    </w:rPr>
  </w:style>
  <w:style w:type="paragraph" w:styleId="Revision">
    <w:name w:val="Revision"/>
    <w:hidden/>
    <w:uiPriority w:val="99"/>
    <w:semiHidden/>
    <w:rsid w:val="00DE0B84"/>
    <w:pPr>
      <w:spacing w:after="0" w:line="240" w:lineRule="auto"/>
    </w:pPr>
  </w:style>
  <w:style w:type="character" w:customStyle="1" w:styleId="UnresolvedMention1">
    <w:name w:val="Unresolved Mention1"/>
    <w:basedOn w:val="DefaultParagraphFont"/>
    <w:uiPriority w:val="99"/>
    <w:semiHidden/>
    <w:unhideWhenUsed/>
    <w:rsid w:val="007457E6"/>
    <w:rPr>
      <w:color w:val="605E5C"/>
      <w:shd w:val="clear" w:color="auto" w:fill="E1DFDD"/>
    </w:rPr>
  </w:style>
  <w:style w:type="paragraph" w:styleId="Header">
    <w:name w:val="header"/>
    <w:basedOn w:val="Normal"/>
    <w:link w:val="HeaderChar"/>
    <w:uiPriority w:val="99"/>
    <w:unhideWhenUsed/>
    <w:rsid w:val="00287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36F"/>
  </w:style>
  <w:style w:type="paragraph" w:styleId="Footer">
    <w:name w:val="footer"/>
    <w:basedOn w:val="Normal"/>
    <w:link w:val="FooterChar"/>
    <w:uiPriority w:val="99"/>
    <w:unhideWhenUsed/>
    <w:rsid w:val="00287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36F"/>
  </w:style>
  <w:style w:type="character" w:styleId="UnresolvedMention">
    <w:name w:val="Unresolved Mention"/>
    <w:basedOn w:val="DefaultParagraphFont"/>
    <w:uiPriority w:val="99"/>
    <w:semiHidden/>
    <w:unhideWhenUsed/>
    <w:rsid w:val="00F167CC"/>
    <w:rPr>
      <w:color w:val="605E5C"/>
      <w:shd w:val="clear" w:color="auto" w:fill="E1DFDD"/>
    </w:rPr>
  </w:style>
  <w:style w:type="character" w:customStyle="1" w:styleId="Heading1Char">
    <w:name w:val="Heading 1 Char"/>
    <w:basedOn w:val="DefaultParagraphFont"/>
    <w:link w:val="Heading1"/>
    <w:uiPriority w:val="9"/>
    <w:rsid w:val="00BD028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442454">
      <w:bodyDiv w:val="1"/>
      <w:marLeft w:val="0"/>
      <w:marRight w:val="0"/>
      <w:marTop w:val="0"/>
      <w:marBottom w:val="0"/>
      <w:divBdr>
        <w:top w:val="none" w:sz="0" w:space="0" w:color="auto"/>
        <w:left w:val="none" w:sz="0" w:space="0" w:color="auto"/>
        <w:bottom w:val="none" w:sz="0" w:space="0" w:color="auto"/>
        <w:right w:val="none" w:sz="0" w:space="0" w:color="auto"/>
      </w:divBdr>
      <w:divsChild>
        <w:div w:id="1756442174">
          <w:marLeft w:val="0"/>
          <w:marRight w:val="0"/>
          <w:marTop w:val="0"/>
          <w:marBottom w:val="0"/>
          <w:divBdr>
            <w:top w:val="none" w:sz="0" w:space="0" w:color="auto"/>
            <w:left w:val="none" w:sz="0" w:space="0" w:color="auto"/>
            <w:bottom w:val="none" w:sz="0" w:space="0" w:color="auto"/>
            <w:right w:val="none" w:sz="0" w:space="0" w:color="auto"/>
          </w:divBdr>
          <w:divsChild>
            <w:div w:id="1613048744">
              <w:marLeft w:val="0"/>
              <w:marRight w:val="0"/>
              <w:marTop w:val="0"/>
              <w:marBottom w:val="0"/>
              <w:divBdr>
                <w:top w:val="none" w:sz="0" w:space="0" w:color="auto"/>
                <w:left w:val="none" w:sz="0" w:space="0" w:color="auto"/>
                <w:bottom w:val="none" w:sz="0" w:space="0" w:color="auto"/>
                <w:right w:val="none" w:sz="0" w:space="0" w:color="auto"/>
              </w:divBdr>
              <w:divsChild>
                <w:div w:id="7760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56604">
      <w:bodyDiv w:val="1"/>
      <w:marLeft w:val="0"/>
      <w:marRight w:val="0"/>
      <w:marTop w:val="0"/>
      <w:marBottom w:val="0"/>
      <w:divBdr>
        <w:top w:val="none" w:sz="0" w:space="0" w:color="auto"/>
        <w:left w:val="none" w:sz="0" w:space="0" w:color="auto"/>
        <w:bottom w:val="none" w:sz="0" w:space="0" w:color="auto"/>
        <w:right w:val="none" w:sz="0" w:space="0" w:color="auto"/>
      </w:divBdr>
      <w:divsChild>
        <w:div w:id="215435133">
          <w:marLeft w:val="0"/>
          <w:marRight w:val="0"/>
          <w:marTop w:val="0"/>
          <w:marBottom w:val="0"/>
          <w:divBdr>
            <w:top w:val="none" w:sz="0" w:space="0" w:color="auto"/>
            <w:left w:val="none" w:sz="0" w:space="0" w:color="auto"/>
            <w:bottom w:val="none" w:sz="0" w:space="0" w:color="auto"/>
            <w:right w:val="none" w:sz="0" w:space="0" w:color="auto"/>
          </w:divBdr>
          <w:divsChild>
            <w:div w:id="517277446">
              <w:marLeft w:val="0"/>
              <w:marRight w:val="0"/>
              <w:marTop w:val="0"/>
              <w:marBottom w:val="0"/>
              <w:divBdr>
                <w:top w:val="none" w:sz="0" w:space="0" w:color="auto"/>
                <w:left w:val="none" w:sz="0" w:space="0" w:color="auto"/>
                <w:bottom w:val="none" w:sz="0" w:space="0" w:color="auto"/>
                <w:right w:val="none" w:sz="0" w:space="0" w:color="auto"/>
              </w:divBdr>
              <w:divsChild>
                <w:div w:id="494800991">
                  <w:marLeft w:val="0"/>
                  <w:marRight w:val="0"/>
                  <w:marTop w:val="0"/>
                  <w:marBottom w:val="0"/>
                  <w:divBdr>
                    <w:top w:val="none" w:sz="0" w:space="0" w:color="auto"/>
                    <w:left w:val="none" w:sz="0" w:space="0" w:color="auto"/>
                    <w:bottom w:val="none" w:sz="0" w:space="0" w:color="auto"/>
                    <w:right w:val="none" w:sz="0" w:space="0" w:color="auto"/>
                  </w:divBdr>
                  <w:divsChild>
                    <w:div w:id="14409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457809">
      <w:bodyDiv w:val="1"/>
      <w:marLeft w:val="0"/>
      <w:marRight w:val="0"/>
      <w:marTop w:val="0"/>
      <w:marBottom w:val="0"/>
      <w:divBdr>
        <w:top w:val="none" w:sz="0" w:space="0" w:color="auto"/>
        <w:left w:val="none" w:sz="0" w:space="0" w:color="auto"/>
        <w:bottom w:val="none" w:sz="0" w:space="0" w:color="auto"/>
        <w:right w:val="none" w:sz="0" w:space="0" w:color="auto"/>
      </w:divBdr>
      <w:divsChild>
        <w:div w:id="619607416">
          <w:marLeft w:val="0"/>
          <w:marRight w:val="0"/>
          <w:marTop w:val="0"/>
          <w:marBottom w:val="0"/>
          <w:divBdr>
            <w:top w:val="none" w:sz="0" w:space="0" w:color="auto"/>
            <w:left w:val="none" w:sz="0" w:space="0" w:color="auto"/>
            <w:bottom w:val="none" w:sz="0" w:space="0" w:color="auto"/>
            <w:right w:val="none" w:sz="0" w:space="0" w:color="auto"/>
          </w:divBdr>
          <w:divsChild>
            <w:div w:id="564216721">
              <w:marLeft w:val="0"/>
              <w:marRight w:val="0"/>
              <w:marTop w:val="0"/>
              <w:marBottom w:val="0"/>
              <w:divBdr>
                <w:top w:val="none" w:sz="0" w:space="0" w:color="auto"/>
                <w:left w:val="none" w:sz="0" w:space="0" w:color="auto"/>
                <w:bottom w:val="none" w:sz="0" w:space="0" w:color="auto"/>
                <w:right w:val="none" w:sz="0" w:space="0" w:color="auto"/>
              </w:divBdr>
              <w:divsChild>
                <w:div w:id="182678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4473">
      <w:bodyDiv w:val="1"/>
      <w:marLeft w:val="0"/>
      <w:marRight w:val="0"/>
      <w:marTop w:val="0"/>
      <w:marBottom w:val="0"/>
      <w:divBdr>
        <w:top w:val="none" w:sz="0" w:space="0" w:color="auto"/>
        <w:left w:val="none" w:sz="0" w:space="0" w:color="auto"/>
        <w:bottom w:val="none" w:sz="0" w:space="0" w:color="auto"/>
        <w:right w:val="none" w:sz="0" w:space="0" w:color="auto"/>
      </w:divBdr>
    </w:div>
    <w:div w:id="834691021">
      <w:bodyDiv w:val="1"/>
      <w:marLeft w:val="0"/>
      <w:marRight w:val="0"/>
      <w:marTop w:val="0"/>
      <w:marBottom w:val="0"/>
      <w:divBdr>
        <w:top w:val="none" w:sz="0" w:space="0" w:color="auto"/>
        <w:left w:val="none" w:sz="0" w:space="0" w:color="auto"/>
        <w:bottom w:val="none" w:sz="0" w:space="0" w:color="auto"/>
        <w:right w:val="none" w:sz="0" w:space="0" w:color="auto"/>
      </w:divBdr>
      <w:divsChild>
        <w:div w:id="1847013701">
          <w:marLeft w:val="0"/>
          <w:marRight w:val="0"/>
          <w:marTop w:val="0"/>
          <w:marBottom w:val="0"/>
          <w:divBdr>
            <w:top w:val="none" w:sz="0" w:space="0" w:color="auto"/>
            <w:left w:val="none" w:sz="0" w:space="0" w:color="auto"/>
            <w:bottom w:val="none" w:sz="0" w:space="0" w:color="auto"/>
            <w:right w:val="none" w:sz="0" w:space="0" w:color="auto"/>
          </w:divBdr>
          <w:divsChild>
            <w:div w:id="1676574168">
              <w:marLeft w:val="0"/>
              <w:marRight w:val="0"/>
              <w:marTop w:val="0"/>
              <w:marBottom w:val="0"/>
              <w:divBdr>
                <w:top w:val="none" w:sz="0" w:space="0" w:color="auto"/>
                <w:left w:val="none" w:sz="0" w:space="0" w:color="auto"/>
                <w:bottom w:val="none" w:sz="0" w:space="0" w:color="auto"/>
                <w:right w:val="none" w:sz="0" w:space="0" w:color="auto"/>
              </w:divBdr>
              <w:divsChild>
                <w:div w:id="1740442180">
                  <w:marLeft w:val="0"/>
                  <w:marRight w:val="0"/>
                  <w:marTop w:val="0"/>
                  <w:marBottom w:val="0"/>
                  <w:divBdr>
                    <w:top w:val="none" w:sz="0" w:space="0" w:color="auto"/>
                    <w:left w:val="none" w:sz="0" w:space="0" w:color="auto"/>
                    <w:bottom w:val="none" w:sz="0" w:space="0" w:color="auto"/>
                    <w:right w:val="none" w:sz="0" w:space="0" w:color="auto"/>
                  </w:divBdr>
                  <w:divsChild>
                    <w:div w:id="1854608345">
                      <w:marLeft w:val="0"/>
                      <w:marRight w:val="0"/>
                      <w:marTop w:val="0"/>
                      <w:marBottom w:val="0"/>
                      <w:divBdr>
                        <w:top w:val="none" w:sz="0" w:space="0" w:color="auto"/>
                        <w:left w:val="none" w:sz="0" w:space="0" w:color="auto"/>
                        <w:bottom w:val="none" w:sz="0" w:space="0" w:color="auto"/>
                        <w:right w:val="none" w:sz="0" w:space="0" w:color="auto"/>
                      </w:divBdr>
                      <w:divsChild>
                        <w:div w:id="1660113074">
                          <w:marLeft w:val="0"/>
                          <w:marRight w:val="0"/>
                          <w:marTop w:val="0"/>
                          <w:marBottom w:val="0"/>
                          <w:divBdr>
                            <w:top w:val="none" w:sz="0" w:space="0" w:color="auto"/>
                            <w:left w:val="none" w:sz="0" w:space="0" w:color="auto"/>
                            <w:bottom w:val="none" w:sz="0" w:space="0" w:color="auto"/>
                            <w:right w:val="none" w:sz="0" w:space="0" w:color="auto"/>
                          </w:divBdr>
                          <w:divsChild>
                            <w:div w:id="1247879653">
                              <w:marLeft w:val="0"/>
                              <w:marRight w:val="0"/>
                              <w:marTop w:val="0"/>
                              <w:marBottom w:val="0"/>
                              <w:divBdr>
                                <w:top w:val="none" w:sz="0" w:space="0" w:color="auto"/>
                                <w:left w:val="none" w:sz="0" w:space="0" w:color="auto"/>
                                <w:bottom w:val="none" w:sz="0" w:space="0" w:color="auto"/>
                                <w:right w:val="none" w:sz="0" w:space="0" w:color="auto"/>
                              </w:divBdr>
                              <w:divsChild>
                                <w:div w:id="570583124">
                                  <w:marLeft w:val="0"/>
                                  <w:marRight w:val="0"/>
                                  <w:marTop w:val="240"/>
                                  <w:marBottom w:val="315"/>
                                  <w:divBdr>
                                    <w:top w:val="none" w:sz="0" w:space="0" w:color="auto"/>
                                    <w:left w:val="none" w:sz="0" w:space="0" w:color="auto"/>
                                    <w:bottom w:val="none" w:sz="0" w:space="0" w:color="auto"/>
                                    <w:right w:val="none" w:sz="0" w:space="0" w:color="auto"/>
                                  </w:divBdr>
                                </w:div>
                                <w:div w:id="109073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347886">
      <w:bodyDiv w:val="1"/>
      <w:marLeft w:val="0"/>
      <w:marRight w:val="0"/>
      <w:marTop w:val="0"/>
      <w:marBottom w:val="0"/>
      <w:divBdr>
        <w:top w:val="none" w:sz="0" w:space="0" w:color="auto"/>
        <w:left w:val="none" w:sz="0" w:space="0" w:color="auto"/>
        <w:bottom w:val="none" w:sz="0" w:space="0" w:color="auto"/>
        <w:right w:val="none" w:sz="0" w:space="0" w:color="auto"/>
      </w:divBdr>
      <w:divsChild>
        <w:div w:id="68038631">
          <w:marLeft w:val="0"/>
          <w:marRight w:val="0"/>
          <w:marTop w:val="0"/>
          <w:marBottom w:val="0"/>
          <w:divBdr>
            <w:top w:val="none" w:sz="0" w:space="0" w:color="auto"/>
            <w:left w:val="none" w:sz="0" w:space="0" w:color="auto"/>
            <w:bottom w:val="none" w:sz="0" w:space="0" w:color="auto"/>
            <w:right w:val="none" w:sz="0" w:space="0" w:color="auto"/>
          </w:divBdr>
          <w:divsChild>
            <w:div w:id="434711592">
              <w:marLeft w:val="0"/>
              <w:marRight w:val="0"/>
              <w:marTop w:val="0"/>
              <w:marBottom w:val="0"/>
              <w:divBdr>
                <w:top w:val="none" w:sz="0" w:space="0" w:color="auto"/>
                <w:left w:val="none" w:sz="0" w:space="0" w:color="auto"/>
                <w:bottom w:val="none" w:sz="0" w:space="0" w:color="auto"/>
                <w:right w:val="none" w:sz="0" w:space="0" w:color="auto"/>
              </w:divBdr>
              <w:divsChild>
                <w:div w:id="159001630">
                  <w:marLeft w:val="0"/>
                  <w:marRight w:val="0"/>
                  <w:marTop w:val="0"/>
                  <w:marBottom w:val="0"/>
                  <w:divBdr>
                    <w:top w:val="none" w:sz="0" w:space="0" w:color="auto"/>
                    <w:left w:val="none" w:sz="0" w:space="0" w:color="auto"/>
                    <w:bottom w:val="none" w:sz="0" w:space="0" w:color="auto"/>
                    <w:right w:val="none" w:sz="0" w:space="0" w:color="auto"/>
                  </w:divBdr>
                  <w:divsChild>
                    <w:div w:id="1480996434">
                      <w:marLeft w:val="0"/>
                      <w:marRight w:val="0"/>
                      <w:marTop w:val="0"/>
                      <w:marBottom w:val="0"/>
                      <w:divBdr>
                        <w:top w:val="none" w:sz="0" w:space="0" w:color="auto"/>
                        <w:left w:val="none" w:sz="0" w:space="0" w:color="auto"/>
                        <w:bottom w:val="none" w:sz="0" w:space="0" w:color="auto"/>
                        <w:right w:val="none" w:sz="0" w:space="0" w:color="auto"/>
                      </w:divBdr>
                      <w:divsChild>
                        <w:div w:id="1445466933">
                          <w:marLeft w:val="0"/>
                          <w:marRight w:val="0"/>
                          <w:marTop w:val="0"/>
                          <w:marBottom w:val="0"/>
                          <w:divBdr>
                            <w:top w:val="none" w:sz="0" w:space="0" w:color="auto"/>
                            <w:left w:val="none" w:sz="0" w:space="0" w:color="auto"/>
                            <w:bottom w:val="none" w:sz="0" w:space="0" w:color="auto"/>
                            <w:right w:val="none" w:sz="0" w:space="0" w:color="auto"/>
                          </w:divBdr>
                          <w:divsChild>
                            <w:div w:id="794131160">
                              <w:marLeft w:val="0"/>
                              <w:marRight w:val="0"/>
                              <w:marTop w:val="0"/>
                              <w:marBottom w:val="0"/>
                              <w:divBdr>
                                <w:top w:val="none" w:sz="0" w:space="0" w:color="auto"/>
                                <w:left w:val="none" w:sz="0" w:space="0" w:color="auto"/>
                                <w:bottom w:val="none" w:sz="0" w:space="0" w:color="auto"/>
                                <w:right w:val="none" w:sz="0" w:space="0" w:color="auto"/>
                              </w:divBdr>
                              <w:divsChild>
                                <w:div w:id="184596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386372">
      <w:bodyDiv w:val="1"/>
      <w:marLeft w:val="0"/>
      <w:marRight w:val="0"/>
      <w:marTop w:val="0"/>
      <w:marBottom w:val="0"/>
      <w:divBdr>
        <w:top w:val="none" w:sz="0" w:space="0" w:color="auto"/>
        <w:left w:val="none" w:sz="0" w:space="0" w:color="auto"/>
        <w:bottom w:val="none" w:sz="0" w:space="0" w:color="auto"/>
        <w:right w:val="none" w:sz="0" w:space="0" w:color="auto"/>
      </w:divBdr>
      <w:divsChild>
        <w:div w:id="1291091268">
          <w:marLeft w:val="0"/>
          <w:marRight w:val="0"/>
          <w:marTop w:val="0"/>
          <w:marBottom w:val="0"/>
          <w:divBdr>
            <w:top w:val="none" w:sz="0" w:space="0" w:color="auto"/>
            <w:left w:val="none" w:sz="0" w:space="0" w:color="auto"/>
            <w:bottom w:val="none" w:sz="0" w:space="0" w:color="auto"/>
            <w:right w:val="none" w:sz="0" w:space="0" w:color="auto"/>
          </w:divBdr>
          <w:divsChild>
            <w:div w:id="281378486">
              <w:marLeft w:val="0"/>
              <w:marRight w:val="0"/>
              <w:marTop w:val="0"/>
              <w:marBottom w:val="0"/>
              <w:divBdr>
                <w:top w:val="none" w:sz="0" w:space="0" w:color="auto"/>
                <w:left w:val="none" w:sz="0" w:space="0" w:color="auto"/>
                <w:bottom w:val="none" w:sz="0" w:space="0" w:color="auto"/>
                <w:right w:val="none" w:sz="0" w:space="0" w:color="auto"/>
              </w:divBdr>
              <w:divsChild>
                <w:div w:id="1911034324">
                  <w:marLeft w:val="0"/>
                  <w:marRight w:val="0"/>
                  <w:marTop w:val="0"/>
                  <w:marBottom w:val="0"/>
                  <w:divBdr>
                    <w:top w:val="none" w:sz="0" w:space="0" w:color="auto"/>
                    <w:left w:val="none" w:sz="0" w:space="0" w:color="auto"/>
                    <w:bottom w:val="none" w:sz="0" w:space="0" w:color="auto"/>
                    <w:right w:val="none" w:sz="0" w:space="0" w:color="auto"/>
                  </w:divBdr>
                  <w:divsChild>
                    <w:div w:id="1040134761">
                      <w:marLeft w:val="0"/>
                      <w:marRight w:val="0"/>
                      <w:marTop w:val="0"/>
                      <w:marBottom w:val="0"/>
                      <w:divBdr>
                        <w:top w:val="none" w:sz="0" w:space="0" w:color="auto"/>
                        <w:left w:val="none" w:sz="0" w:space="0" w:color="auto"/>
                        <w:bottom w:val="none" w:sz="0" w:space="0" w:color="auto"/>
                        <w:right w:val="none" w:sz="0" w:space="0" w:color="auto"/>
                      </w:divBdr>
                      <w:divsChild>
                        <w:div w:id="1767845970">
                          <w:marLeft w:val="0"/>
                          <w:marRight w:val="0"/>
                          <w:marTop w:val="0"/>
                          <w:marBottom w:val="0"/>
                          <w:divBdr>
                            <w:top w:val="none" w:sz="0" w:space="0" w:color="auto"/>
                            <w:left w:val="none" w:sz="0" w:space="0" w:color="auto"/>
                            <w:bottom w:val="none" w:sz="0" w:space="0" w:color="auto"/>
                            <w:right w:val="none" w:sz="0" w:space="0" w:color="auto"/>
                          </w:divBdr>
                          <w:divsChild>
                            <w:div w:id="475223092">
                              <w:marLeft w:val="0"/>
                              <w:marRight w:val="0"/>
                              <w:marTop w:val="0"/>
                              <w:marBottom w:val="0"/>
                              <w:divBdr>
                                <w:top w:val="none" w:sz="0" w:space="0" w:color="auto"/>
                                <w:left w:val="none" w:sz="0" w:space="0" w:color="auto"/>
                                <w:bottom w:val="none" w:sz="0" w:space="0" w:color="auto"/>
                                <w:right w:val="none" w:sz="0" w:space="0" w:color="auto"/>
                              </w:divBdr>
                              <w:divsChild>
                                <w:div w:id="13163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149788">
      <w:bodyDiv w:val="1"/>
      <w:marLeft w:val="0"/>
      <w:marRight w:val="0"/>
      <w:marTop w:val="0"/>
      <w:marBottom w:val="0"/>
      <w:divBdr>
        <w:top w:val="none" w:sz="0" w:space="0" w:color="auto"/>
        <w:left w:val="none" w:sz="0" w:space="0" w:color="auto"/>
        <w:bottom w:val="none" w:sz="0" w:space="0" w:color="auto"/>
        <w:right w:val="none" w:sz="0" w:space="0" w:color="auto"/>
      </w:divBdr>
      <w:divsChild>
        <w:div w:id="2443168">
          <w:marLeft w:val="0"/>
          <w:marRight w:val="0"/>
          <w:marTop w:val="0"/>
          <w:marBottom w:val="0"/>
          <w:divBdr>
            <w:top w:val="none" w:sz="0" w:space="0" w:color="auto"/>
            <w:left w:val="none" w:sz="0" w:space="0" w:color="auto"/>
            <w:bottom w:val="none" w:sz="0" w:space="0" w:color="auto"/>
            <w:right w:val="none" w:sz="0" w:space="0" w:color="auto"/>
          </w:divBdr>
          <w:divsChild>
            <w:div w:id="1304044933">
              <w:marLeft w:val="0"/>
              <w:marRight w:val="0"/>
              <w:marTop w:val="0"/>
              <w:marBottom w:val="0"/>
              <w:divBdr>
                <w:top w:val="none" w:sz="0" w:space="0" w:color="auto"/>
                <w:left w:val="none" w:sz="0" w:space="0" w:color="auto"/>
                <w:bottom w:val="none" w:sz="0" w:space="0" w:color="auto"/>
                <w:right w:val="none" w:sz="0" w:space="0" w:color="auto"/>
              </w:divBdr>
              <w:divsChild>
                <w:div w:id="11202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1977">
      <w:bodyDiv w:val="1"/>
      <w:marLeft w:val="0"/>
      <w:marRight w:val="0"/>
      <w:marTop w:val="0"/>
      <w:marBottom w:val="0"/>
      <w:divBdr>
        <w:top w:val="none" w:sz="0" w:space="0" w:color="auto"/>
        <w:left w:val="none" w:sz="0" w:space="0" w:color="auto"/>
        <w:bottom w:val="none" w:sz="0" w:space="0" w:color="auto"/>
        <w:right w:val="none" w:sz="0" w:space="0" w:color="auto"/>
      </w:divBdr>
      <w:divsChild>
        <w:div w:id="951012844">
          <w:marLeft w:val="0"/>
          <w:marRight w:val="0"/>
          <w:marTop w:val="0"/>
          <w:marBottom w:val="0"/>
          <w:divBdr>
            <w:top w:val="none" w:sz="0" w:space="0" w:color="auto"/>
            <w:left w:val="none" w:sz="0" w:space="0" w:color="auto"/>
            <w:bottom w:val="none" w:sz="0" w:space="0" w:color="auto"/>
            <w:right w:val="none" w:sz="0" w:space="0" w:color="auto"/>
          </w:divBdr>
          <w:divsChild>
            <w:div w:id="1775861694">
              <w:marLeft w:val="0"/>
              <w:marRight w:val="0"/>
              <w:marTop w:val="0"/>
              <w:marBottom w:val="0"/>
              <w:divBdr>
                <w:top w:val="none" w:sz="0" w:space="0" w:color="auto"/>
                <w:left w:val="none" w:sz="0" w:space="0" w:color="auto"/>
                <w:bottom w:val="none" w:sz="0" w:space="0" w:color="auto"/>
                <w:right w:val="none" w:sz="0" w:space="0" w:color="auto"/>
              </w:divBdr>
              <w:divsChild>
                <w:div w:id="2100058414">
                  <w:marLeft w:val="0"/>
                  <w:marRight w:val="0"/>
                  <w:marTop w:val="0"/>
                  <w:marBottom w:val="0"/>
                  <w:divBdr>
                    <w:top w:val="none" w:sz="0" w:space="0" w:color="auto"/>
                    <w:left w:val="none" w:sz="0" w:space="0" w:color="auto"/>
                    <w:bottom w:val="none" w:sz="0" w:space="0" w:color="auto"/>
                    <w:right w:val="none" w:sz="0" w:space="0" w:color="auto"/>
                  </w:divBdr>
                  <w:divsChild>
                    <w:div w:id="9968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46448">
      <w:bodyDiv w:val="1"/>
      <w:marLeft w:val="0"/>
      <w:marRight w:val="0"/>
      <w:marTop w:val="0"/>
      <w:marBottom w:val="0"/>
      <w:divBdr>
        <w:top w:val="none" w:sz="0" w:space="0" w:color="auto"/>
        <w:left w:val="none" w:sz="0" w:space="0" w:color="auto"/>
        <w:bottom w:val="none" w:sz="0" w:space="0" w:color="auto"/>
        <w:right w:val="none" w:sz="0" w:space="0" w:color="auto"/>
      </w:divBdr>
      <w:divsChild>
        <w:div w:id="398329265">
          <w:marLeft w:val="0"/>
          <w:marRight w:val="0"/>
          <w:marTop w:val="0"/>
          <w:marBottom w:val="0"/>
          <w:divBdr>
            <w:top w:val="none" w:sz="0" w:space="0" w:color="auto"/>
            <w:left w:val="none" w:sz="0" w:space="0" w:color="auto"/>
            <w:bottom w:val="none" w:sz="0" w:space="0" w:color="auto"/>
            <w:right w:val="none" w:sz="0" w:space="0" w:color="auto"/>
          </w:divBdr>
          <w:divsChild>
            <w:div w:id="1792818664">
              <w:marLeft w:val="0"/>
              <w:marRight w:val="0"/>
              <w:marTop w:val="0"/>
              <w:marBottom w:val="0"/>
              <w:divBdr>
                <w:top w:val="none" w:sz="0" w:space="0" w:color="auto"/>
                <w:left w:val="none" w:sz="0" w:space="0" w:color="auto"/>
                <w:bottom w:val="none" w:sz="0" w:space="0" w:color="auto"/>
                <w:right w:val="none" w:sz="0" w:space="0" w:color="auto"/>
              </w:divBdr>
              <w:divsChild>
                <w:div w:id="1752969272">
                  <w:marLeft w:val="0"/>
                  <w:marRight w:val="0"/>
                  <w:marTop w:val="0"/>
                  <w:marBottom w:val="0"/>
                  <w:divBdr>
                    <w:top w:val="none" w:sz="0" w:space="0" w:color="auto"/>
                    <w:left w:val="none" w:sz="0" w:space="0" w:color="auto"/>
                    <w:bottom w:val="none" w:sz="0" w:space="0" w:color="auto"/>
                    <w:right w:val="none" w:sz="0" w:space="0" w:color="auto"/>
                  </w:divBdr>
                  <w:divsChild>
                    <w:div w:id="189218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131897">
      <w:bodyDiv w:val="1"/>
      <w:marLeft w:val="0"/>
      <w:marRight w:val="0"/>
      <w:marTop w:val="0"/>
      <w:marBottom w:val="0"/>
      <w:divBdr>
        <w:top w:val="none" w:sz="0" w:space="0" w:color="auto"/>
        <w:left w:val="none" w:sz="0" w:space="0" w:color="auto"/>
        <w:bottom w:val="none" w:sz="0" w:space="0" w:color="auto"/>
        <w:right w:val="none" w:sz="0" w:space="0" w:color="auto"/>
      </w:divBdr>
      <w:divsChild>
        <w:div w:id="1176309711">
          <w:marLeft w:val="0"/>
          <w:marRight w:val="0"/>
          <w:marTop w:val="0"/>
          <w:marBottom w:val="0"/>
          <w:divBdr>
            <w:top w:val="none" w:sz="0" w:space="0" w:color="auto"/>
            <w:left w:val="none" w:sz="0" w:space="0" w:color="auto"/>
            <w:bottom w:val="none" w:sz="0" w:space="0" w:color="auto"/>
            <w:right w:val="none" w:sz="0" w:space="0" w:color="auto"/>
          </w:divBdr>
          <w:divsChild>
            <w:div w:id="870922209">
              <w:marLeft w:val="0"/>
              <w:marRight w:val="0"/>
              <w:marTop w:val="0"/>
              <w:marBottom w:val="0"/>
              <w:divBdr>
                <w:top w:val="none" w:sz="0" w:space="0" w:color="auto"/>
                <w:left w:val="none" w:sz="0" w:space="0" w:color="auto"/>
                <w:bottom w:val="none" w:sz="0" w:space="0" w:color="auto"/>
                <w:right w:val="none" w:sz="0" w:space="0" w:color="auto"/>
              </w:divBdr>
              <w:divsChild>
                <w:div w:id="1808934953">
                  <w:marLeft w:val="0"/>
                  <w:marRight w:val="0"/>
                  <w:marTop w:val="0"/>
                  <w:marBottom w:val="0"/>
                  <w:divBdr>
                    <w:top w:val="none" w:sz="0" w:space="0" w:color="auto"/>
                    <w:left w:val="none" w:sz="0" w:space="0" w:color="auto"/>
                    <w:bottom w:val="none" w:sz="0" w:space="0" w:color="auto"/>
                    <w:right w:val="none" w:sz="0" w:space="0" w:color="auto"/>
                  </w:divBdr>
                  <w:divsChild>
                    <w:div w:id="214323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2814</Characters>
  <Application>Microsoft Office Word</Application>
  <DocSecurity>0</DocSecurity>
  <Lines>23</Lines>
  <Paragraphs>6</Paragraphs>
  <ScaleCrop>false</ScaleCrop>
  <HeadingPairs>
    <vt:vector size="6" baseType="variant">
      <vt:variant>
        <vt:lpstr>Title</vt:lpstr>
      </vt:variant>
      <vt:variant>
        <vt:i4>1</vt:i4>
      </vt:variant>
      <vt:variant>
        <vt:lpstr>Titre</vt:lpstr>
      </vt:variant>
      <vt:variant>
        <vt:i4>1</vt:i4>
      </vt:variant>
      <vt:variant>
        <vt:lpstr>Naslov</vt:lpstr>
      </vt:variant>
      <vt:variant>
        <vt:i4>1</vt:i4>
      </vt:variant>
    </vt:vector>
  </HeadingPairs>
  <TitlesOfParts>
    <vt:vector size="3" baseType="lpstr">
      <vt:lpstr/>
      <vt:lpstr/>
      <vt:lpstr/>
    </vt:vector>
  </TitlesOfParts>
  <Company>Kmetijski inštitut Slovenije</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Gerič Stare</dc:creator>
  <cp:lastModifiedBy>Marina Arnaut Stefanović</cp:lastModifiedBy>
  <cp:revision>2</cp:revision>
  <dcterms:created xsi:type="dcterms:W3CDTF">2026-06-05T10:04:00Z</dcterms:created>
  <dcterms:modified xsi:type="dcterms:W3CDTF">2026-06-05T10:04:00Z</dcterms:modified>
</cp:coreProperties>
</file>